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C297" w14:textId="39D8B53B" w:rsidR="0078287A" w:rsidRDefault="0078287A" w:rsidP="0078287A">
      <w:pPr>
        <w:pStyle w:val="OZNRODZAKTUtznustawalubrozporzdzenieiorganwydajcy"/>
      </w:pPr>
    </w:p>
    <w:p w14:paraId="7F2C057A" w14:textId="77777777" w:rsidR="0078287A" w:rsidRPr="002612F3" w:rsidRDefault="0078287A" w:rsidP="0078287A">
      <w:pPr>
        <w:pStyle w:val="OZNRODZAKTUtznustawalubrozporzdzenieiorganwydajcy"/>
        <w:rPr>
          <w:rFonts w:ascii="Times New Roman" w:hAnsi="Times New Roman"/>
        </w:rPr>
      </w:pPr>
      <w:r w:rsidRPr="002612F3">
        <w:rPr>
          <w:rFonts w:ascii="Times New Roman" w:hAnsi="Times New Roman"/>
        </w:rPr>
        <w:t xml:space="preserve">Ustawa </w:t>
      </w:r>
    </w:p>
    <w:p w14:paraId="1EF44E5F" w14:textId="140F47D3" w:rsidR="002612F3" w:rsidRPr="002612F3" w:rsidRDefault="002612F3" w:rsidP="002612F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2612F3">
        <w:rPr>
          <w:rFonts w:ascii="Times New Roman" w:hAnsi="Times New Roman" w:cs="Times New Roman"/>
          <w:sz w:val="24"/>
          <w:szCs w:val="24"/>
          <w:lang w:eastAsia="pl-PL"/>
        </w:rPr>
        <w:t>z dnia …</w:t>
      </w:r>
    </w:p>
    <w:p w14:paraId="56DB055E" w14:textId="77777777" w:rsidR="0078287A" w:rsidRPr="00513B53" w:rsidRDefault="0078287A" w:rsidP="0078287A">
      <w:pPr>
        <w:pStyle w:val="TYTUAKTUprzedmiotregulacjiustawylubrozporzdzenia"/>
      </w:pPr>
      <w:r>
        <w:t xml:space="preserve">o zmianie ustawy o publicznym transporcie zbiorowym </w:t>
      </w:r>
    </w:p>
    <w:p w14:paraId="2B69BE4B" w14:textId="77777777" w:rsidR="0078287A" w:rsidRPr="00674E54" w:rsidRDefault="0078287A" w:rsidP="0078287A">
      <w:pPr>
        <w:pStyle w:val="ARTartustawynprozporzdzenia"/>
      </w:pPr>
      <w:bookmarkStart w:id="0" w:name="_Hlk169884124"/>
      <w:r w:rsidRPr="00777CE5">
        <w:rPr>
          <w:rStyle w:val="Ppogrubienie"/>
        </w:rPr>
        <w:t>Art</w:t>
      </w:r>
      <w:r>
        <w:rPr>
          <w:rStyle w:val="Ppogrubienie"/>
        </w:rPr>
        <w:t xml:space="preserve">. </w:t>
      </w:r>
      <w:r w:rsidRPr="00777CE5">
        <w:rPr>
          <w:rStyle w:val="Ppogrubienie"/>
        </w:rPr>
        <w:t>1</w:t>
      </w:r>
      <w:bookmarkEnd w:id="0"/>
      <w:r w:rsidRPr="00777CE5">
        <w:rPr>
          <w:rStyle w:val="Ppogrubienie"/>
        </w:rPr>
        <w:t>.</w:t>
      </w:r>
      <w:r>
        <w:t xml:space="preserve"> W ustawie z dnia 16 grudnia 2010 r. o publicznym transporcie zbiorowym </w:t>
      </w:r>
      <w:r w:rsidRPr="00674E54">
        <w:t>(Dz. U. z 2025</w:t>
      </w:r>
      <w:r>
        <w:t xml:space="preserve"> </w:t>
      </w:r>
      <w:r w:rsidRPr="00674E54">
        <w:t>r. poz. 285</w:t>
      </w:r>
      <w:r>
        <w:t>,</w:t>
      </w:r>
      <w:r w:rsidRPr="00674E54">
        <w:t xml:space="preserve"> 1173</w:t>
      </w:r>
      <w:r>
        <w:t xml:space="preserve"> i 1843</w:t>
      </w:r>
      <w:r w:rsidRPr="00674E54">
        <w:t xml:space="preserve">) po art. 81 </w:t>
      </w:r>
      <w:r>
        <w:t>dodaje się art. 81a w brzmieniu:</w:t>
      </w:r>
    </w:p>
    <w:p w14:paraId="12B6003E" w14:textId="77777777" w:rsidR="0078287A" w:rsidRDefault="0078287A" w:rsidP="0078287A">
      <w:pPr>
        <w:pStyle w:val="ZARTzmartartykuempunktem"/>
      </w:pPr>
      <w:r w:rsidRPr="00674E54">
        <w:t xml:space="preserve">„Art. 81a. </w:t>
      </w:r>
      <w:r>
        <w:t xml:space="preserve">1. </w:t>
      </w:r>
      <w:r w:rsidRPr="00674E54">
        <w:t>Przewoźnik lub operator publicznego transportu zbiorowego wykonujący przewozy w transporcie kolejowym stosuje kasy rejestrujące, o których mowa w art. 57 ust. 1, od dnia 1 kwietnia 2027 r.</w:t>
      </w:r>
    </w:p>
    <w:p w14:paraId="6B33F874" w14:textId="7E7F710C" w:rsidR="0078287A" w:rsidRPr="002D18A0" w:rsidRDefault="0078287A" w:rsidP="0078287A">
      <w:pPr>
        <w:pStyle w:val="ZARTzmartartykuempunktem"/>
      </w:pPr>
      <w:r>
        <w:t>2.</w:t>
      </w:r>
      <w:r w:rsidRPr="002D18A0">
        <w:t xml:space="preserve">  Warunek otrzymania dopłaty, o którym mowa w art. 55 ust. 11 pkt 2, stosuje się do przewoźników i operatorów, o których mowa w ust. 1, od dnia 1 kwietnia 2027 r.</w:t>
      </w:r>
      <w:r>
        <w:t>”</w:t>
      </w:r>
      <w:r w:rsidRPr="002D18A0">
        <w:t>.</w:t>
      </w:r>
    </w:p>
    <w:p w14:paraId="43CF613E" w14:textId="77777777" w:rsidR="0078287A" w:rsidRPr="00226308" w:rsidRDefault="0078287A" w:rsidP="0078287A">
      <w:pPr>
        <w:pStyle w:val="ARTartustawynprozporzdzenia"/>
      </w:pPr>
      <w:r w:rsidRPr="00950216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950216">
        <w:rPr>
          <w:rStyle w:val="Ppogrubienie"/>
        </w:rPr>
        <w:t>.</w:t>
      </w:r>
      <w:r>
        <w:t xml:space="preserve"> Ustawa </w:t>
      </w:r>
      <w:r w:rsidRPr="00674E54">
        <w:t xml:space="preserve">wchodzi w życie z dniem następującym po dniu ogłoszenia, z mocą </w:t>
      </w:r>
      <w:r>
        <w:t xml:space="preserve">obowiązującą </w:t>
      </w:r>
      <w:r w:rsidRPr="00674E54">
        <w:t>od dnia 1 stycznia 2026 r.</w:t>
      </w:r>
      <w:r>
        <w:t xml:space="preserve"> </w:t>
      </w:r>
    </w:p>
    <w:p w14:paraId="0967A89C" w14:textId="77777777" w:rsidR="00E56007" w:rsidRDefault="00E56007"/>
    <w:p w14:paraId="2A4CF3F7" w14:textId="77777777" w:rsidR="0049327F" w:rsidRDefault="0049327F"/>
    <w:p w14:paraId="36138462" w14:textId="77777777" w:rsidR="0049327F" w:rsidRDefault="0049327F"/>
    <w:p w14:paraId="648BA619" w14:textId="77777777" w:rsidR="0049327F" w:rsidRDefault="0049327F"/>
    <w:p w14:paraId="519DBC7C" w14:textId="77777777" w:rsidR="0049327F" w:rsidRDefault="0049327F"/>
    <w:p w14:paraId="6CEE63FF" w14:textId="77777777" w:rsidR="0049327F" w:rsidRDefault="0049327F"/>
    <w:p w14:paraId="77794098" w14:textId="77777777" w:rsidR="0049327F" w:rsidRDefault="0049327F"/>
    <w:p w14:paraId="5864740D" w14:textId="77777777" w:rsidR="0049327F" w:rsidRDefault="0049327F"/>
    <w:p w14:paraId="42A61AF0" w14:textId="77777777" w:rsidR="0049327F" w:rsidRDefault="0049327F"/>
    <w:p w14:paraId="1774A952" w14:textId="77777777" w:rsidR="0049327F" w:rsidRDefault="0049327F"/>
    <w:p w14:paraId="4BB79522" w14:textId="77777777" w:rsidR="0049327F" w:rsidRDefault="0049327F"/>
    <w:p w14:paraId="41879206" w14:textId="77777777" w:rsidR="0049327F" w:rsidRDefault="0049327F"/>
    <w:p w14:paraId="7360211F" w14:textId="77777777" w:rsidR="0049327F" w:rsidRDefault="0049327F"/>
    <w:p w14:paraId="3B559291" w14:textId="77777777" w:rsidR="0049327F" w:rsidRDefault="0049327F"/>
    <w:p w14:paraId="485D2E3D" w14:textId="77777777" w:rsidR="0049327F" w:rsidRDefault="0049327F"/>
    <w:p w14:paraId="24980D45" w14:textId="77777777" w:rsidR="0049327F" w:rsidRDefault="0049327F"/>
    <w:p w14:paraId="34C2667C" w14:textId="77777777" w:rsidR="0049327F" w:rsidRDefault="0049327F"/>
    <w:p w14:paraId="209325FB" w14:textId="77777777" w:rsidR="0049327F" w:rsidRDefault="0049327F"/>
    <w:p w14:paraId="547BA125" w14:textId="77777777" w:rsidR="0049327F" w:rsidRPr="00E54C60" w:rsidRDefault="0049327F" w:rsidP="0049327F">
      <w:pPr>
        <w:spacing w:after="24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60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14:paraId="25E1F1A5" w14:textId="77777777" w:rsidR="0049327F" w:rsidRDefault="0049327F" w:rsidP="0049327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60">
        <w:rPr>
          <w:rFonts w:ascii="Times New Roman" w:hAnsi="Times New Roman" w:cs="Times New Roman"/>
          <w:sz w:val="24"/>
          <w:szCs w:val="24"/>
        </w:rPr>
        <w:t xml:space="preserve">Projektowana </w:t>
      </w:r>
      <w:r>
        <w:rPr>
          <w:rFonts w:ascii="Times New Roman" w:hAnsi="Times New Roman" w:cs="Times New Roman"/>
          <w:sz w:val="24"/>
          <w:szCs w:val="24"/>
        </w:rPr>
        <w:t>ustawa</w:t>
      </w:r>
      <w:r w:rsidRPr="00E54C60">
        <w:rPr>
          <w:rFonts w:ascii="Times New Roman" w:hAnsi="Times New Roman" w:cs="Times New Roman"/>
          <w:sz w:val="24"/>
          <w:szCs w:val="24"/>
        </w:rPr>
        <w:t xml:space="preserve"> przewiduje dodanie art. 81a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54C60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E54C60">
        <w:rPr>
          <w:rFonts w:ascii="Times New Roman" w:hAnsi="Times New Roman" w:cs="Times New Roman"/>
          <w:sz w:val="24"/>
          <w:szCs w:val="24"/>
        </w:rPr>
        <w:t xml:space="preserve"> z dnia 16 grudnia 2010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>publicznym transporcie zbiorowym (Dz. U. z 2025 r. poz. 285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4C60">
        <w:rPr>
          <w:rFonts w:ascii="Times New Roman" w:hAnsi="Times New Roman" w:cs="Times New Roman"/>
          <w:sz w:val="24"/>
          <w:szCs w:val="24"/>
        </w:rPr>
        <w:t>1173</w:t>
      </w:r>
      <w:r>
        <w:rPr>
          <w:rFonts w:ascii="Times New Roman" w:hAnsi="Times New Roman" w:cs="Times New Roman"/>
          <w:sz w:val="24"/>
          <w:szCs w:val="24"/>
        </w:rPr>
        <w:t xml:space="preserve"> i 1843</w:t>
      </w:r>
      <w:r w:rsidRPr="00E54C60">
        <w:rPr>
          <w:rFonts w:ascii="Times New Roman" w:hAnsi="Times New Roman" w:cs="Times New Roman"/>
          <w:sz w:val="24"/>
          <w:szCs w:val="24"/>
        </w:rPr>
        <w:t xml:space="preserve">). Jest to przepis przejściowy </w:t>
      </w:r>
      <w:r>
        <w:rPr>
          <w:rFonts w:ascii="Times New Roman" w:hAnsi="Times New Roman" w:cs="Times New Roman"/>
          <w:sz w:val="24"/>
          <w:szCs w:val="24"/>
        </w:rPr>
        <w:t>określający</w:t>
      </w:r>
      <w:r w:rsidRPr="00E54C60">
        <w:rPr>
          <w:rFonts w:ascii="Times New Roman" w:hAnsi="Times New Roman" w:cs="Times New Roman"/>
          <w:sz w:val="24"/>
          <w:szCs w:val="24"/>
        </w:rPr>
        <w:t xml:space="preserve"> dat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E54C60">
        <w:rPr>
          <w:rFonts w:ascii="Times New Roman" w:hAnsi="Times New Roman" w:cs="Times New Roman"/>
          <w:sz w:val="24"/>
          <w:szCs w:val="24"/>
        </w:rPr>
        <w:t xml:space="preserve"> objęcia od dnia 1 kwietnia 202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E54C6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4C60">
        <w:rPr>
          <w:rFonts w:ascii="Times New Roman" w:hAnsi="Times New Roman" w:cs="Times New Roman"/>
          <w:sz w:val="24"/>
          <w:szCs w:val="24"/>
        </w:rPr>
        <w:t xml:space="preserve"> przewoźników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54C60">
        <w:rPr>
          <w:rFonts w:ascii="Times New Roman" w:hAnsi="Times New Roman" w:cs="Times New Roman"/>
          <w:sz w:val="24"/>
          <w:szCs w:val="24"/>
        </w:rPr>
        <w:t xml:space="preserve"> operatorów publicznego transportu zbiorowego wykonujących przewozy w transporcie kolejowym obowiązkiem stosowania kas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>rejestrujących, o których mowa w art. 57 ust. 1</w:t>
      </w:r>
      <w:r>
        <w:rPr>
          <w:rFonts w:ascii="Times New Roman" w:hAnsi="Times New Roman" w:cs="Times New Roman"/>
          <w:sz w:val="24"/>
          <w:szCs w:val="24"/>
        </w:rPr>
        <w:t xml:space="preserve"> zmienianej ustawy. </w:t>
      </w:r>
      <w:r w:rsidRPr="00E54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Projektowany przepis n</w:t>
      </w:r>
      <w:r w:rsidRPr="00E54C60">
        <w:rPr>
          <w:rFonts w:ascii="Times New Roman" w:hAnsi="Times New Roman" w:cs="Times New Roman"/>
          <w:sz w:val="24"/>
          <w:szCs w:val="24"/>
        </w:rPr>
        <w:t>ormuj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E54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również warunki uzyskania dopłaty </w:t>
      </w:r>
      <w:r w:rsidRPr="00E54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54C60">
        <w:rPr>
          <w:rFonts w:ascii="Times New Roman" w:hAnsi="Times New Roman" w:cs="Times New Roman"/>
          <w:sz w:val="24"/>
          <w:szCs w:val="24"/>
        </w:rPr>
        <w:t xml:space="preserve">utraconych przychodów w związku z </w:t>
      </w:r>
      <w:r>
        <w:rPr>
          <w:rFonts w:ascii="Times New Roman" w:hAnsi="Times New Roman" w:cs="Times New Roman"/>
          <w:sz w:val="24"/>
          <w:szCs w:val="24"/>
        </w:rPr>
        <w:t xml:space="preserve">obowiązkiem stosowania </w:t>
      </w:r>
      <w:r w:rsidRPr="00E54C60">
        <w:rPr>
          <w:rFonts w:ascii="Times New Roman" w:hAnsi="Times New Roman" w:cs="Times New Roman"/>
          <w:sz w:val="24"/>
          <w:szCs w:val="24"/>
        </w:rPr>
        <w:t>ustawowy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E54C60">
        <w:rPr>
          <w:rFonts w:ascii="Times New Roman" w:hAnsi="Times New Roman" w:cs="Times New Roman"/>
          <w:sz w:val="24"/>
          <w:szCs w:val="24"/>
        </w:rPr>
        <w:t xml:space="preserve"> uprawnie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E54C60">
        <w:rPr>
          <w:rFonts w:ascii="Times New Roman" w:hAnsi="Times New Roman" w:cs="Times New Roman"/>
          <w:sz w:val="24"/>
          <w:szCs w:val="24"/>
        </w:rPr>
        <w:t xml:space="preserve"> do ulgowych przejazdów. Zgodnie z § 8 ust. 4 rozporządzenia Ministra Finansów z dnia 17 grudnia 2024 r. w sprawie zwolnień z obowiązku prowadzenia ewidencji sprzedaży przy zastosowaniu kas </w:t>
      </w:r>
      <w:r>
        <w:rPr>
          <w:rFonts w:ascii="Times New Roman" w:hAnsi="Times New Roman" w:cs="Times New Roman"/>
          <w:sz w:val="24"/>
          <w:szCs w:val="24"/>
        </w:rPr>
        <w:t xml:space="preserve">rejestrujących </w:t>
      </w:r>
      <w:r w:rsidRPr="00E54C60">
        <w:rPr>
          <w:rFonts w:ascii="Times New Roman" w:hAnsi="Times New Roman" w:cs="Times New Roman"/>
          <w:sz w:val="24"/>
          <w:szCs w:val="24"/>
        </w:rPr>
        <w:t>(Dz. U. poz. 1902) obowiązek prowadzenia ewidencji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hAnsi="Times New Roman" w:cs="Times New Roman"/>
          <w:sz w:val="24"/>
          <w:szCs w:val="24"/>
        </w:rPr>
        <w:t xml:space="preserve">przy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>zastosowaniu kas rejestrujących (fiskalnych) dla podatników dokonujących dostawy towarów lub świadczących usługi inne niż wymienione w ust. 3 § 8, przy użyciu automatów vendingowych, z wyłączeniem usług mycia, czyszczenia samochodów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>podobnych usług wejdzie w życie od 1 kwietnia 2027 r. W związku z tym, że zwolnienie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 xml:space="preserve">obowiązku stosowania kas rejestrujących sprzedaż posiłków i towarów na pokładach pociągów za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>pośrednictwem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hAnsi="Times New Roman" w:cs="Times New Roman"/>
          <w:sz w:val="24"/>
          <w:szCs w:val="24"/>
        </w:rPr>
        <w:t>automatów (maszyn) vendingowych będzie obowiązywać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 dnia </w:t>
      </w:r>
      <w:r w:rsidRPr="00E54C6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hAnsi="Times New Roman" w:cs="Times New Roman"/>
          <w:sz w:val="24"/>
          <w:szCs w:val="24"/>
        </w:rPr>
        <w:t xml:space="preserve">skorelowany z tym terminem powinien być także termin zwolnienia wynikający 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>ustawy o publicznym transporcie zbiorowym. W związku z powyższym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C60">
        <w:rPr>
          <w:rFonts w:ascii="Times New Roman" w:hAnsi="Times New Roman" w:cs="Times New Roman"/>
          <w:sz w:val="24"/>
          <w:szCs w:val="24"/>
        </w:rPr>
        <w:t xml:space="preserve">ramach projektowanej nowelizacji zaproponowano aby na podstawie </w:t>
      </w:r>
      <w:r>
        <w:rPr>
          <w:rFonts w:ascii="Times New Roman" w:hAnsi="Times New Roman" w:cs="Times New Roman"/>
          <w:sz w:val="24"/>
          <w:szCs w:val="24"/>
        </w:rPr>
        <w:t xml:space="preserve">dodawanego </w:t>
      </w:r>
      <w:r w:rsidRPr="00E54C60">
        <w:rPr>
          <w:rFonts w:ascii="Times New Roman" w:hAnsi="Times New Roman" w:cs="Times New Roman"/>
          <w:sz w:val="24"/>
          <w:szCs w:val="24"/>
        </w:rPr>
        <w:t xml:space="preserve">art. 81a zmianie uległ termin wskazany w </w:t>
      </w:r>
      <w:r>
        <w:rPr>
          <w:rFonts w:ascii="Times New Roman" w:hAnsi="Times New Roman" w:cs="Times New Roman"/>
          <w:sz w:val="24"/>
          <w:szCs w:val="24"/>
        </w:rPr>
        <w:t>art. 81</w:t>
      </w:r>
      <w:r w:rsidRPr="00E54C60">
        <w:rPr>
          <w:rFonts w:ascii="Times New Roman" w:hAnsi="Times New Roman" w:cs="Times New Roman"/>
          <w:sz w:val="24"/>
          <w:szCs w:val="24"/>
        </w:rPr>
        <w:t xml:space="preserve"> z dnia 1 stycznia 2026 r. na dzień 1 kwietnia 2027 r.</w:t>
      </w:r>
    </w:p>
    <w:p w14:paraId="67FFFB50" w14:textId="77777777" w:rsidR="0049327F" w:rsidRPr="00E54C60" w:rsidRDefault="0049327F" w:rsidP="0049327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65">
        <w:rPr>
          <w:rFonts w:ascii="Times New Roman" w:hAnsi="Times New Roman" w:cs="Times New Roman"/>
          <w:sz w:val="24"/>
          <w:szCs w:val="24"/>
        </w:rPr>
        <w:t xml:space="preserve">Należy również wskazać, że część przewoźników kolejowych nie jest obecnie przygotowana do stosowania kas rejestrujących, a brak dostosowania w tym zakresie może prowadzić do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0C65">
        <w:rPr>
          <w:rFonts w:ascii="Times New Roman" w:hAnsi="Times New Roman" w:cs="Times New Roman"/>
          <w:sz w:val="24"/>
          <w:szCs w:val="24"/>
        </w:rPr>
        <w:t>utrudnień w procesie sprzedaży biletów</w:t>
      </w:r>
      <w:r>
        <w:rPr>
          <w:rFonts w:ascii="Times New Roman" w:hAnsi="Times New Roman" w:cs="Times New Roman"/>
          <w:sz w:val="24"/>
          <w:szCs w:val="24"/>
        </w:rPr>
        <w:t xml:space="preserve">, w tym w szczególności biletów ulgowych </w:t>
      </w:r>
      <w:r w:rsidRPr="00690C65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0C65">
        <w:rPr>
          <w:rFonts w:ascii="Times New Roman" w:hAnsi="Times New Roman" w:cs="Times New Roman"/>
          <w:sz w:val="24"/>
          <w:szCs w:val="24"/>
        </w:rPr>
        <w:t>ograniczenia dostępności usług transportu kolejowego, w szczególności dla osób starszych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90C65">
        <w:rPr>
          <w:rFonts w:ascii="Times New Roman" w:hAnsi="Times New Roman" w:cs="Times New Roman"/>
          <w:sz w:val="24"/>
          <w:szCs w:val="24"/>
        </w:rPr>
        <w:t xml:space="preserve"> osób </w:t>
      </w:r>
      <w:r>
        <w:rPr>
          <w:rFonts w:ascii="Times New Roman" w:hAnsi="Times New Roman" w:cs="Times New Roman"/>
          <w:sz w:val="24"/>
          <w:szCs w:val="24"/>
        </w:rPr>
        <w:t>nieposiadających dostępu do Internetu</w:t>
      </w:r>
      <w:r w:rsidRPr="00690C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92AFD" w14:textId="77777777" w:rsidR="0049327F" w:rsidRPr="00C061C5" w:rsidRDefault="0049327F" w:rsidP="0049327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Projektowana ustawa wejdzie w życie następującego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po ogłoszeni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z mocą obowiązującą od dnia 1 stycznia 2026 r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Jednocześnie ustawa przesuwa termin stosowania obowiązku wynikającego z art. 81 ustawy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publicznym transporcie zbiorowym z dnia 1 stycznia 2026 r. na dzień 1 kwietnia 2027 r.,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harmonizacji z terminami wynikającymi z przepisów podatkowych regulujących stosowanie kas rejestrujących, określonych w § 8 ust. 4 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rozporządzenia Ministra Finansów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17 grudnia 2024 r. w sprawie zwolnień z obowiązku prowadzenia ewidencji sprzedaży przy zastosowaniu kas rejestrujących.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3DF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3DF5">
        <w:rPr>
          <w:rFonts w:ascii="Times New Roman" w:eastAsia="Times New Roman" w:hAnsi="Times New Roman" w:cs="Times New Roman"/>
          <w:sz w:val="24"/>
          <w:szCs w:val="24"/>
          <w:lang w:eastAsia="pl-PL"/>
        </w:rPr>
        <w:t>nadanie regulacji mocy obowiązującej od dnia 1 stycznia 2026 r. oznacza odniesienie jej skutków do okresu wcześniejszego niż dzień ogłoszenia. Rozwiązanie to ma jednak charakter techniczno</w:t>
      </w:r>
      <w:r w:rsidRPr="00203DF5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 xml:space="preserve">dostosowawczy i służy zapewnieniu spójności terminów wynikających z przepisów podatkowych. </w:t>
      </w:r>
      <w:r w:rsidRPr="00203DF5">
        <w:rPr>
          <w:rFonts w:ascii="Times New Roman" w:hAnsi="Times New Roman" w:cs="Times New Roman"/>
          <w:sz w:val="24"/>
          <w:szCs w:val="24"/>
        </w:rPr>
        <w:t xml:space="preserve">Projektowane rozwiązania są korzystne dla adresatów, uzasadnione interesem publicznym, nie nakładają dodatkowych obowiązków  i nie są  sprzeczne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061C5">
        <w:rPr>
          <w:rFonts w:ascii="Times New Roman" w:hAnsi="Times New Roman" w:cs="Times New Roman"/>
          <w:sz w:val="24"/>
          <w:szCs w:val="24"/>
        </w:rPr>
        <w:t xml:space="preserve"> zasadami demokratycznego państwa prawnego, w tym ochrony zaufania obywateli do państwa i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61C5">
        <w:rPr>
          <w:rFonts w:ascii="Times New Roman" w:hAnsi="Times New Roman" w:cs="Times New Roman"/>
          <w:sz w:val="24"/>
          <w:szCs w:val="24"/>
        </w:rPr>
        <w:t>pewności prawa</w:t>
      </w:r>
      <w:r w:rsidRPr="00203D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D32094" w14:textId="77777777" w:rsidR="0049327F" w:rsidRPr="00404D3E" w:rsidRDefault="0049327F" w:rsidP="00493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Projektowana regulacja 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ma charakter wyłącznie dostosowawczy i techniczno-organizacyjny – dotyczy przyszłego stosowania obowiązków ewidencyjnych, a nie obciąża przewoźników wstecz. Dzięki temu projektowana ustawa pozostaje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pełni zgodna z Konstytucją Rzeczypospolitej Polskiej z  dnia  2 kwietnia 1997 r. (Dz. U. Nr 78, poz. 483, z późn. zm.)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Zgodnie z art. 2 Konstytucji RP, państwo działa w oparciu o zasadę zaufania obywateli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0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i stanowionego przez nie prawa, a także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zasadą praworządności, na  podstawie prawa i w jego granicach</w:t>
      </w:r>
      <w:r w:rsidRPr="00404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957A1F" w14:textId="77777777" w:rsidR="0049327F" w:rsidRPr="00573224" w:rsidRDefault="0049327F" w:rsidP="00493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D3E">
        <w:rPr>
          <w:rFonts w:ascii="Times New Roman" w:hAnsi="Times New Roman" w:cs="Times New Roman"/>
          <w:sz w:val="24"/>
          <w:szCs w:val="24"/>
        </w:rPr>
        <w:t xml:space="preserve">Okres </w:t>
      </w:r>
      <w:r w:rsidRPr="00404D3E">
        <w:rPr>
          <w:rFonts w:ascii="Times New Roman" w:hAnsi="Times New Roman" w:cs="Times New Roman"/>
          <w:i/>
          <w:sz w:val="24"/>
          <w:szCs w:val="24"/>
        </w:rPr>
        <w:t>vacatio legis</w:t>
      </w:r>
      <w:r w:rsidRPr="00404D3E">
        <w:rPr>
          <w:rFonts w:ascii="Times New Roman" w:hAnsi="Times New Roman" w:cs="Times New Roman"/>
          <w:sz w:val="24"/>
          <w:szCs w:val="24"/>
        </w:rPr>
        <w:t>, choć skrócony,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D3E">
        <w:rPr>
          <w:rFonts w:ascii="Times New Roman" w:hAnsi="Times New Roman" w:cs="Times New Roman"/>
          <w:sz w:val="24"/>
          <w:szCs w:val="24"/>
        </w:rPr>
        <w:t>jest uzasadniony charakterem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D3E">
        <w:rPr>
          <w:rFonts w:ascii="Times New Roman" w:hAnsi="Times New Roman" w:cs="Times New Roman"/>
          <w:sz w:val="24"/>
          <w:szCs w:val="24"/>
        </w:rPr>
        <w:t>techniczno</w:t>
      </w:r>
      <w:r w:rsidRPr="00404D3E">
        <w:rPr>
          <w:rFonts w:ascii="Times New Roman" w:hAnsi="Times New Roman" w:cs="Times New Roman"/>
          <w:sz w:val="24"/>
          <w:szCs w:val="24"/>
        </w:rPr>
        <w:noBreakHyphen/>
        <w:t xml:space="preserve">dostosowawczym zmian oraz koniecznością harmonizacji terminów z przepisami podatkowymi. </w:t>
      </w:r>
      <w:r>
        <w:rPr>
          <w:rFonts w:ascii="Times New Roman" w:hAnsi="Times New Roman" w:cs="Times New Roman"/>
          <w:sz w:val="24"/>
          <w:szCs w:val="24"/>
        </w:rPr>
        <w:t xml:space="preserve">W orzecznictwie </w:t>
      </w:r>
      <w:r w:rsidRPr="00404D3E">
        <w:rPr>
          <w:rFonts w:ascii="Times New Roman" w:hAnsi="Times New Roman" w:cs="Times New Roman"/>
          <w:sz w:val="24"/>
          <w:szCs w:val="24"/>
        </w:rPr>
        <w:t xml:space="preserve">Trybunał Konstytucyjny podkreślał, że okres </w:t>
      </w:r>
      <w:r w:rsidRPr="00404D3E">
        <w:rPr>
          <w:rFonts w:ascii="Times New Roman" w:hAnsi="Times New Roman" w:cs="Times New Roman"/>
          <w:i/>
          <w:sz w:val="24"/>
          <w:szCs w:val="24"/>
        </w:rPr>
        <w:t>vacatio legis</w:t>
      </w:r>
      <w:r w:rsidRPr="00404D3E">
        <w:rPr>
          <w:rFonts w:ascii="Times New Roman" w:hAnsi="Times New Roman" w:cs="Times New Roman"/>
          <w:sz w:val="24"/>
          <w:szCs w:val="24"/>
        </w:rPr>
        <w:t xml:space="preserve"> powinien być odpowiedni do charakteru zmian i zapewniać podatnikom możliwość racjonalnego przygotowania się do nowych obowiązków, co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D3E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D3E">
        <w:rPr>
          <w:rFonts w:ascii="Times New Roman" w:hAnsi="Times New Roman" w:cs="Times New Roman"/>
          <w:sz w:val="24"/>
          <w:szCs w:val="24"/>
        </w:rPr>
        <w:t xml:space="preserve">kluczowe znaczenie dla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D3E">
        <w:rPr>
          <w:rFonts w:ascii="Times New Roman" w:hAnsi="Times New Roman" w:cs="Times New Roman"/>
          <w:sz w:val="24"/>
          <w:szCs w:val="24"/>
        </w:rPr>
        <w:t xml:space="preserve">ochrony zaufania obywateli do prawa (por. wyrok TK z dnia </w:t>
      </w:r>
      <w:r w:rsidRPr="00404D3E">
        <w:rPr>
          <w:rStyle w:val="Pogrubienie"/>
          <w:rFonts w:ascii="Times New Roman" w:hAnsi="Times New Roman" w:cs="Times New Roman"/>
          <w:sz w:val="24"/>
          <w:szCs w:val="24"/>
        </w:rPr>
        <w:t>2</w:t>
      </w:r>
      <w:r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404D3E">
        <w:rPr>
          <w:rStyle w:val="Pogrubienie"/>
          <w:rFonts w:ascii="Times New Roman" w:hAnsi="Times New Roman" w:cs="Times New Roman"/>
          <w:sz w:val="24"/>
          <w:szCs w:val="24"/>
        </w:rPr>
        <w:t xml:space="preserve">grudnia 2014 r., sygn. </w:t>
      </w:r>
      <w:r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404D3E">
        <w:rPr>
          <w:rStyle w:val="Pogrubienie"/>
          <w:rFonts w:ascii="Times New Roman" w:hAnsi="Times New Roman" w:cs="Times New Roman"/>
          <w:sz w:val="24"/>
          <w:szCs w:val="24"/>
        </w:rPr>
        <w:t xml:space="preserve">akt </w:t>
      </w:r>
      <w:r>
        <w:rPr>
          <w:rStyle w:val="Pogrubienie"/>
          <w:rFonts w:ascii="Times New Roman" w:hAnsi="Times New Roman" w:cs="Times New Roman"/>
          <w:sz w:val="24"/>
          <w:szCs w:val="24"/>
        </w:rPr>
        <w:t> </w:t>
      </w:r>
      <w:r w:rsidRPr="00404D3E">
        <w:rPr>
          <w:rStyle w:val="Pogrubienie"/>
          <w:rFonts w:ascii="Times New Roman" w:hAnsi="Times New Roman" w:cs="Times New Roman"/>
          <w:sz w:val="24"/>
          <w:szCs w:val="24"/>
        </w:rPr>
        <w:t>P 29/13, OTK ZU nr 11/A/2014, poz. 116</w:t>
      </w:r>
      <w:r w:rsidRPr="00404D3E">
        <w:rPr>
          <w:rFonts w:ascii="Times New Roman" w:hAnsi="Times New Roman" w:cs="Times New Roman"/>
          <w:sz w:val="24"/>
          <w:szCs w:val="24"/>
        </w:rPr>
        <w:t xml:space="preserve">, dotyczący dopuszczalności skrócenia </w:t>
      </w:r>
      <w:r w:rsidRPr="00404D3E">
        <w:rPr>
          <w:rFonts w:ascii="Times New Roman" w:hAnsi="Times New Roman" w:cs="Times New Roman"/>
          <w:i/>
          <w:sz w:val="24"/>
          <w:szCs w:val="24"/>
        </w:rPr>
        <w:t>vacatio legis</w:t>
      </w:r>
      <w:r w:rsidRPr="00404D3E">
        <w:rPr>
          <w:rFonts w:ascii="Times New Roman" w:hAnsi="Times New Roman" w:cs="Times New Roman"/>
          <w:sz w:val="24"/>
          <w:szCs w:val="24"/>
        </w:rPr>
        <w:t xml:space="preserve"> dla zmian o charakterze technicznym, oraz wyrok TK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D3E">
        <w:rPr>
          <w:rFonts w:ascii="Times New Roman" w:hAnsi="Times New Roman" w:cs="Times New Roman"/>
          <w:sz w:val="24"/>
          <w:szCs w:val="24"/>
        </w:rPr>
        <w:t xml:space="preserve">z dnia </w:t>
      </w:r>
      <w:r w:rsidRPr="00404D3E">
        <w:rPr>
          <w:rStyle w:val="Pogrubienie"/>
          <w:rFonts w:ascii="Times New Roman" w:hAnsi="Times New Roman" w:cs="Times New Roman"/>
          <w:sz w:val="24"/>
          <w:szCs w:val="24"/>
        </w:rPr>
        <w:t>15 lutego 2005 r., sygn. akt K 48/04, OTK ZU nr 2/A/2005, poz. 15</w:t>
      </w:r>
      <w:r w:rsidRPr="00404D3E">
        <w:rPr>
          <w:rFonts w:ascii="Times New Roman" w:hAnsi="Times New Roman" w:cs="Times New Roman"/>
          <w:sz w:val="24"/>
          <w:szCs w:val="24"/>
        </w:rPr>
        <w:t>, odnoszący się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D3E">
        <w:rPr>
          <w:rFonts w:ascii="Times New Roman" w:hAnsi="Times New Roman" w:cs="Times New Roman"/>
          <w:sz w:val="24"/>
          <w:szCs w:val="24"/>
        </w:rPr>
        <w:t xml:space="preserve">do </w:t>
      </w:r>
      <w:r w:rsidRPr="00404D3E">
        <w:rPr>
          <w:rFonts w:ascii="Times New Roman" w:hAnsi="Times New Roman" w:cs="Times New Roman"/>
          <w:i/>
          <w:sz w:val="24"/>
          <w:szCs w:val="24"/>
        </w:rPr>
        <w:t>vacatio legis</w:t>
      </w:r>
      <w:r w:rsidRPr="00404D3E">
        <w:rPr>
          <w:rFonts w:ascii="Times New Roman" w:hAnsi="Times New Roman" w:cs="Times New Roman"/>
          <w:sz w:val="24"/>
          <w:szCs w:val="24"/>
        </w:rPr>
        <w:t xml:space="preserve"> w prawie podatkowym).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04D3E">
        <w:rPr>
          <w:rFonts w:ascii="Times New Roman" w:hAnsi="Times New Roman" w:cs="Times New Roman"/>
          <w:sz w:val="24"/>
          <w:szCs w:val="24"/>
        </w:rPr>
        <w:t xml:space="preserve">rótsze </w:t>
      </w:r>
      <w:r w:rsidRPr="00404D3E">
        <w:rPr>
          <w:rFonts w:ascii="Times New Roman" w:hAnsi="Times New Roman" w:cs="Times New Roman"/>
          <w:i/>
          <w:sz w:val="24"/>
          <w:szCs w:val="24"/>
        </w:rPr>
        <w:t>vacatio legis</w:t>
      </w:r>
      <w:r w:rsidRPr="00404D3E">
        <w:rPr>
          <w:rFonts w:ascii="Times New Roman" w:hAnsi="Times New Roman" w:cs="Times New Roman"/>
          <w:sz w:val="24"/>
          <w:szCs w:val="24"/>
        </w:rPr>
        <w:t xml:space="preserve"> nie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4D3E">
        <w:rPr>
          <w:rFonts w:ascii="Times New Roman" w:hAnsi="Times New Roman" w:cs="Times New Roman"/>
          <w:sz w:val="24"/>
          <w:szCs w:val="24"/>
        </w:rPr>
        <w:t>narusza konstytucyjnej zasady zaufania, jeżeli zmiany mają charakter</w:t>
      </w:r>
      <w:r w:rsidRPr="00573224">
        <w:rPr>
          <w:rFonts w:ascii="Times New Roman" w:hAnsi="Times New Roman" w:cs="Times New Roman"/>
          <w:sz w:val="24"/>
          <w:szCs w:val="24"/>
        </w:rPr>
        <w:t xml:space="preserve"> techniczny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3224">
        <w:rPr>
          <w:rFonts w:ascii="Times New Roman" w:hAnsi="Times New Roman" w:cs="Times New Roman"/>
          <w:sz w:val="24"/>
          <w:szCs w:val="24"/>
        </w:rPr>
        <w:t>porządkujący system, nie obciążają wstecz i nie naruszają praw nabytych.</w:t>
      </w:r>
    </w:p>
    <w:p w14:paraId="607AE57B" w14:textId="7D1BF020" w:rsidR="0049327F" w:rsidRPr="00E54C60" w:rsidRDefault="0049327F" w:rsidP="00493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Rozwiązanie jest proporcjonalne i neutralne wobec podmiotów gospodarczych, ponieważ 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2649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żadnych nowych obowiązków ani kosztów, a jedynie dostosowuje termin realizacji obowiązku wynikającego z przepisów podatkowych dotyczących stosowania kas rejestrujących.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Przesunięcie terminu eliminuje ryzyko naruszenia zasady równości wobec 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prawa (art. 32 Konstytucji RP) oraz zasad sprawiedliwości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, gdyż przewoźnicy kolejowi nie będą zobowiązani do wcześniejszego wdrażania kas rejestrujących wyłącznie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celu spełnienia wymogów ustawy sektorowej. Projektowana regulacja zapewnia zgodność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konstytucyjnym standardem ochrony praw i wolności, w tym prawa do rzetelnego planowania działalności gospodarczej i minimalizacji nieuzasadnionych obciążeń administracyjnych,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z zasadą ochrony uzasadnionych oczekiwań,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utrzymując pełną spójność systemu prawnego dotyczącego ustalania i wypłaty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dopłaty z tytułu sprzedaży biletów z ulgami ustawowymi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przewoźników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operatorów </w:t>
      </w:r>
      <w:r w:rsidRPr="00E54C60">
        <w:rPr>
          <w:rFonts w:ascii="Times New Roman" w:hAnsi="Times New Roman" w:cs="Times New Roman"/>
          <w:sz w:val="24"/>
          <w:szCs w:val="24"/>
        </w:rPr>
        <w:t>publicznego transportu zbiorowego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hAnsi="Times New Roman" w:cs="Times New Roman"/>
          <w:sz w:val="24"/>
          <w:szCs w:val="24"/>
        </w:rPr>
        <w:t>wykonujących przewozy w transporcie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E54C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C28103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C60">
        <w:rPr>
          <w:rFonts w:ascii="Times New Roman" w:eastAsia="Calibri" w:hAnsi="Times New Roman" w:cs="Times New Roman"/>
          <w:sz w:val="24"/>
          <w:szCs w:val="24"/>
        </w:rPr>
        <w:t xml:space="preserve">Projekt ustawy </w:t>
      </w:r>
      <w:r>
        <w:rPr>
          <w:rFonts w:ascii="Times New Roman" w:eastAsia="Calibri" w:hAnsi="Times New Roman" w:cs="Times New Roman"/>
          <w:sz w:val="24"/>
          <w:szCs w:val="24"/>
        </w:rPr>
        <w:t>nie jest sprzeczny</w:t>
      </w:r>
      <w:r w:rsidRPr="00E54C60">
        <w:rPr>
          <w:rFonts w:ascii="Times New Roman" w:eastAsia="Calibri" w:hAnsi="Times New Roman" w:cs="Times New Roman"/>
          <w:sz w:val="24"/>
          <w:szCs w:val="24"/>
        </w:rPr>
        <w:t xml:space="preserve"> z prawem Unii Europejskiej.  </w:t>
      </w:r>
    </w:p>
    <w:p w14:paraId="7D60E2BA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5F035D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AE862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D61E9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22E2FE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80FE99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D078E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74722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D7004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3C2968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00EBE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C87ABF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ECA95F" w14:textId="77777777" w:rsidR="0049327F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0A4A6C" w14:textId="77777777" w:rsidR="0049327F" w:rsidRPr="00E54C60" w:rsidRDefault="0049327F" w:rsidP="004932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169E6" w14:textId="77777777" w:rsidR="0049327F" w:rsidRDefault="0049327F"/>
    <w:sectPr w:rsidR="00493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BB6C" w14:textId="77777777" w:rsidR="008B3725" w:rsidRDefault="008B3725" w:rsidP="008B3725">
      <w:pPr>
        <w:spacing w:after="0" w:line="240" w:lineRule="auto"/>
      </w:pPr>
      <w:r>
        <w:separator/>
      </w:r>
    </w:p>
  </w:endnote>
  <w:endnote w:type="continuationSeparator" w:id="0">
    <w:p w14:paraId="74D7EFDA" w14:textId="77777777" w:rsidR="008B3725" w:rsidRDefault="008B3725" w:rsidP="008B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8F5B" w14:textId="77777777" w:rsidR="008B3725" w:rsidRDefault="008B3725" w:rsidP="008B3725">
      <w:pPr>
        <w:spacing w:after="0" w:line="240" w:lineRule="auto"/>
      </w:pPr>
      <w:r>
        <w:separator/>
      </w:r>
    </w:p>
  </w:footnote>
  <w:footnote w:type="continuationSeparator" w:id="0">
    <w:p w14:paraId="107CE59A" w14:textId="77777777" w:rsidR="008B3725" w:rsidRDefault="008B3725" w:rsidP="008B3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7A"/>
    <w:rsid w:val="00065412"/>
    <w:rsid w:val="001C3B9F"/>
    <w:rsid w:val="002612F3"/>
    <w:rsid w:val="00375D37"/>
    <w:rsid w:val="0049327F"/>
    <w:rsid w:val="005C0930"/>
    <w:rsid w:val="0078287A"/>
    <w:rsid w:val="007E195F"/>
    <w:rsid w:val="00816DE8"/>
    <w:rsid w:val="008347B7"/>
    <w:rsid w:val="008B3725"/>
    <w:rsid w:val="008D0CFC"/>
    <w:rsid w:val="00B73A16"/>
    <w:rsid w:val="00D553E2"/>
    <w:rsid w:val="00E5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B73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27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8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8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8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8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87A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78287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8287A"/>
    <w:pPr>
      <w:spacing w:before="0"/>
      <w:ind w:left="510"/>
    </w:p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8287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78287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8287A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78287A"/>
    <w:rPr>
      <w:b/>
    </w:rPr>
  </w:style>
  <w:style w:type="character" w:styleId="Pogrubienie">
    <w:name w:val="Strong"/>
    <w:basedOn w:val="Domylnaczcionkaakapitu"/>
    <w:uiPriority w:val="22"/>
    <w:qFormat/>
    <w:rsid w:val="0049327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72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7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2026-02-20T09:29:00Z</dcterms:created>
  <dcterms:modified xsi:type="dcterms:W3CDTF">2026-02-20T09:29:00Z</dcterms:modified>
</cp:coreProperties>
</file>